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FE20" w14:textId="1BC86FCF" w:rsidR="003457F0" w:rsidRPr="00CC3589" w:rsidRDefault="003457F0" w:rsidP="00DA2733">
      <w:r w:rsidRPr="00CC3589">
        <w:t>NEOLATINLYON 2024</w:t>
      </w:r>
    </w:p>
    <w:p w14:paraId="73761138" w14:textId="7B71886B" w:rsidR="003457F0" w:rsidRPr="00CC3589" w:rsidRDefault="003457F0" w:rsidP="00DA2733">
      <w:r w:rsidRPr="00CC3589">
        <w:t>Paul Gaillardon, Smaranda Marculescu</w:t>
      </w:r>
    </w:p>
    <w:p w14:paraId="60359C13" w14:textId="238B37D3" w:rsidR="003457F0" w:rsidRPr="00CC3589" w:rsidRDefault="00AD19C0" w:rsidP="00DA2733">
      <w:pPr>
        <w:pStyle w:val="Titre"/>
      </w:pPr>
      <w:r w:rsidRPr="00CC3589">
        <w:t>Atelier</w:t>
      </w:r>
      <w:r w:rsidR="00F267BC">
        <w:t> :</w:t>
      </w:r>
      <w:r w:rsidR="00DF5BA8" w:rsidRPr="00CC3589">
        <w:t xml:space="preserve"> Les citations bibliques dans les </w:t>
      </w:r>
      <w:r w:rsidR="00DF5BA8" w:rsidRPr="00CC3589">
        <w:rPr>
          <w:i/>
          <w:iCs/>
        </w:rPr>
        <w:t xml:space="preserve">Adages </w:t>
      </w:r>
      <w:r w:rsidR="00DF5BA8" w:rsidRPr="00CC3589">
        <w:t>d’Érasme</w:t>
      </w:r>
      <w:r w:rsidR="00F267BC">
        <w:br/>
      </w:r>
      <w:r w:rsidR="003457F0" w:rsidRPr="00CC3589">
        <w:t>L’apport de l’XML-TEI comme outil d’édition et de recherche</w:t>
      </w:r>
    </w:p>
    <w:p w14:paraId="3DE12660" w14:textId="60D98BB5" w:rsidR="00F267BC" w:rsidRDefault="00B840A2" w:rsidP="00F267BC">
      <w:pPr>
        <w:pStyle w:val="Titre1"/>
      </w:pPr>
      <w:r w:rsidRPr="00CC3589">
        <w:t>Lecture et traduction</w:t>
      </w:r>
    </w:p>
    <w:p w14:paraId="28D25442" w14:textId="453F8441" w:rsidR="00F267BC" w:rsidRPr="00FC7D74" w:rsidRDefault="00F267BC" w:rsidP="00F267BC">
      <w:pPr>
        <w:pStyle w:val="Titre2"/>
      </w:pPr>
      <w:r w:rsidRPr="00FC7D74">
        <w:t>Ad quot res utilis par</w:t>
      </w:r>
      <w:r w:rsidR="00D12E99" w:rsidRPr="00FC7D74">
        <w:t>œ</w:t>
      </w:r>
      <w:r w:rsidRPr="00FC7D74">
        <w:t>miarum cognitio (</w:t>
      </w:r>
      <w:r w:rsidRPr="00FC7D74">
        <w:rPr>
          <w:i/>
          <w:iCs/>
        </w:rPr>
        <w:t>Adages</w:t>
      </w:r>
      <w:r w:rsidRPr="00FC7D74">
        <w:t>, 1536, p. 7-8)</w:t>
      </w:r>
    </w:p>
    <w:p w14:paraId="774B81FC" w14:textId="5529A503" w:rsidR="00F267BC" w:rsidRDefault="00F267BC" w:rsidP="00F267BC">
      <w:pPr>
        <w:rPr>
          <w:lang w:val="en-US"/>
        </w:rPr>
      </w:pPr>
      <w:r>
        <w:t xml:space="preserve">Reliquum est, ut paucis ostendamus non minus utilitatis inesse proverbiis quam olim adfuerit dignitatis. </w:t>
      </w:r>
      <w:r w:rsidRPr="00F267BC">
        <w:rPr>
          <w:lang w:val="en-US"/>
        </w:rPr>
        <w:t>Conducit autem par</w:t>
      </w:r>
      <w:r w:rsidR="00D12E99">
        <w:rPr>
          <w:lang w:val="en-US"/>
        </w:rPr>
        <w:t>œ</w:t>
      </w:r>
      <w:r w:rsidRPr="00F267BC">
        <w:rPr>
          <w:lang w:val="en-US"/>
        </w:rPr>
        <w:t>miarum cognitio cum ad alia permulta tum potissimum ad quatuor</w:t>
      </w:r>
      <w:r>
        <w:rPr>
          <w:lang w:val="en-US"/>
        </w:rPr>
        <w:t> :</w:t>
      </w:r>
      <w:r w:rsidRPr="00F267BC">
        <w:rPr>
          <w:lang w:val="en-US"/>
        </w:rPr>
        <w:t xml:space="preserve"> </w:t>
      </w:r>
      <w:r w:rsidRPr="00475759">
        <w:rPr>
          <w:u w:val="single"/>
          <w:lang w:val="en-US"/>
        </w:rPr>
        <w:t>ad philosophiam</w:t>
      </w:r>
      <w:r w:rsidRPr="00F267BC">
        <w:rPr>
          <w:lang w:val="en-US"/>
        </w:rPr>
        <w:t>, ad persuadendum, ad decus et gratiam orationis, ad intelligendos optimos quosque auctores. Principio, ne cui mirum videatur quod proverbia dixerim ad philosophi</w:t>
      </w:r>
      <w:r w:rsidR="00D12E99">
        <w:rPr>
          <w:lang w:val="en-US"/>
        </w:rPr>
        <w:t>æ</w:t>
      </w:r>
      <w:r w:rsidRPr="00F267BC">
        <w:rPr>
          <w:lang w:val="en-US"/>
        </w:rPr>
        <w:t xml:space="preserve"> scientiam pertinere, Aristoteles apud Synesium existimat nihil aliud esse par</w:t>
      </w:r>
      <w:r w:rsidR="00D12E99">
        <w:rPr>
          <w:lang w:val="en-US"/>
        </w:rPr>
        <w:t>œ</w:t>
      </w:r>
      <w:r w:rsidRPr="00F267BC">
        <w:rPr>
          <w:lang w:val="en-US"/>
        </w:rPr>
        <w:t>mias quam reliquias prisc</w:t>
      </w:r>
      <w:r w:rsidR="00D12E99">
        <w:rPr>
          <w:lang w:val="en-US"/>
        </w:rPr>
        <w:t>æ</w:t>
      </w:r>
      <w:r w:rsidRPr="00F267BC">
        <w:rPr>
          <w:lang w:val="en-US"/>
        </w:rPr>
        <w:t xml:space="preserve"> illius philosophi</w:t>
      </w:r>
      <w:r w:rsidR="00D12E99">
        <w:rPr>
          <w:lang w:val="en-US"/>
        </w:rPr>
        <w:t>æ</w:t>
      </w:r>
      <w:r w:rsidRPr="00F267BC">
        <w:rPr>
          <w:lang w:val="en-US"/>
        </w:rPr>
        <w:t xml:space="preserve"> maximis rerum humanarum cladibus extinct</w:t>
      </w:r>
      <w:r w:rsidR="00D12E99">
        <w:rPr>
          <w:lang w:val="en-US"/>
        </w:rPr>
        <w:t>æ</w:t>
      </w:r>
      <w:r w:rsidRPr="00F267BC">
        <w:rPr>
          <w:lang w:val="en-US"/>
        </w:rPr>
        <w:t>.</w:t>
      </w:r>
      <w:r w:rsidRPr="00475759">
        <w:rPr>
          <w:b/>
          <w:bCs/>
          <w:lang w:val="en-US"/>
        </w:rPr>
        <w:t xml:space="preserve"> [Enc. Cal., 22]</w:t>
      </w:r>
      <w:r w:rsidRPr="00F267BC">
        <w:rPr>
          <w:lang w:val="en-US"/>
        </w:rPr>
        <w:t xml:space="preserve"> </w:t>
      </w:r>
    </w:p>
    <w:p w14:paraId="4E953F48" w14:textId="09391D09" w:rsidR="00F267BC" w:rsidRPr="00F267BC" w:rsidRDefault="00F267BC" w:rsidP="00F267BC">
      <w:r>
        <w:rPr>
          <w:lang w:val="en-US"/>
        </w:rPr>
        <w:t xml:space="preserve">[…] </w:t>
      </w:r>
      <w:r w:rsidRPr="00F267BC">
        <w:rPr>
          <w:lang w:val="en-US"/>
        </w:rPr>
        <w:t>Pr</w:t>
      </w:r>
      <w:r w:rsidR="00D12E99">
        <w:rPr>
          <w:lang w:val="en-US"/>
        </w:rPr>
        <w:t>æ</w:t>
      </w:r>
      <w:r w:rsidRPr="00F267BC">
        <w:rPr>
          <w:lang w:val="en-US"/>
        </w:rPr>
        <w:t xml:space="preserve">terea si quis </w:t>
      </w:r>
      <w:hyperlink r:id="rId7" w:history="1">
        <w:r w:rsidR="00475759" w:rsidRPr="00AD6ED8">
          <w:rPr>
            <w:lang w:val="en-US"/>
          </w:rPr>
          <w:t>Pythagoricum illud</w:t>
        </w:r>
      </w:hyperlink>
      <w:r w:rsidRPr="00D12E99">
        <w:rPr>
          <w:lang w:val="en-US"/>
        </w:rPr>
        <w:t xml:space="preserve"> </w:t>
      </w:r>
      <w:r>
        <w:t>Κοινὰ</w:t>
      </w:r>
      <w:r w:rsidRPr="00F267BC">
        <w:rPr>
          <w:lang w:val="en-US"/>
        </w:rPr>
        <w:t xml:space="preserve"> </w:t>
      </w:r>
      <w:r>
        <w:t>τὰ</w:t>
      </w:r>
      <w:r w:rsidRPr="00F267BC">
        <w:rPr>
          <w:lang w:val="en-US"/>
        </w:rPr>
        <w:t xml:space="preserve"> </w:t>
      </w:r>
      <w:r>
        <w:t>τῶν</w:t>
      </w:r>
      <w:r w:rsidRPr="00F267BC">
        <w:rPr>
          <w:lang w:val="en-US"/>
        </w:rPr>
        <w:t xml:space="preserve"> </w:t>
      </w:r>
      <w:r>
        <w:t>φίλων</w:t>
      </w:r>
      <w:r w:rsidRPr="00F267BC">
        <w:rPr>
          <w:lang w:val="en-US"/>
        </w:rPr>
        <w:t xml:space="preserve"> id est </w:t>
      </w:r>
      <w:r w:rsidRPr="00D12E99">
        <w:rPr>
          <w:i/>
          <w:iCs/>
          <w:lang w:val="en-US"/>
        </w:rPr>
        <w:t>Communes res amicorum</w:t>
      </w:r>
      <w:r w:rsidRPr="00F267BC">
        <w:rPr>
          <w:lang w:val="en-US"/>
        </w:rPr>
        <w:t xml:space="preserve">, </w:t>
      </w:r>
      <w:r w:rsidR="00475759" w:rsidRPr="00475759">
        <w:rPr>
          <w:b/>
          <w:bCs/>
          <w:lang w:val="en-US"/>
        </w:rPr>
        <w:t>[ad.</w:t>
      </w:r>
      <w:r w:rsidR="00475759">
        <w:rPr>
          <w:b/>
          <w:bCs/>
          <w:lang w:val="en-US"/>
        </w:rPr>
        <w:t> </w:t>
      </w:r>
      <w:r w:rsidR="00475759" w:rsidRPr="00475759">
        <w:rPr>
          <w:b/>
          <w:bCs/>
          <w:lang w:val="en-US"/>
        </w:rPr>
        <w:t>1</w:t>
      </w:r>
      <w:r w:rsidR="00475759">
        <w:rPr>
          <w:lang w:val="en-US"/>
        </w:rPr>
        <w:t xml:space="preserve">] </w:t>
      </w:r>
      <w:r w:rsidRPr="00F267BC">
        <w:rPr>
          <w:lang w:val="en-US"/>
        </w:rPr>
        <w:t>diligentius penitiusque discutiat, nimirum inveniet in tam brevi dicto felicitatis human</w:t>
      </w:r>
      <w:r w:rsidR="00D12E99">
        <w:rPr>
          <w:lang w:val="en-US"/>
        </w:rPr>
        <w:t>æ</w:t>
      </w:r>
      <w:r w:rsidRPr="00F267BC">
        <w:rPr>
          <w:lang w:val="en-US"/>
        </w:rPr>
        <w:t xml:space="preserve"> summam esse comprehensam. </w:t>
      </w:r>
      <w:bookmarkStart w:id="0" w:name="_Hlk201070937"/>
      <w:r w:rsidRPr="00475759">
        <w:rPr>
          <w:lang w:val="en-US"/>
        </w:rPr>
        <w:t>Quid enim aliud agit Plato</w:t>
      </w:r>
      <w:bookmarkEnd w:id="0"/>
      <w:r w:rsidRPr="00475759">
        <w:rPr>
          <w:lang w:val="en-US"/>
        </w:rPr>
        <w:t xml:space="preserve"> tot voluminibus quam ut communitatem persuadeat et hujus auctorem amicitiam ? </w:t>
      </w:r>
      <w:r w:rsidRPr="00D12E99">
        <w:rPr>
          <w:lang w:val="en-US"/>
        </w:rPr>
        <w:t>Qu</w:t>
      </w:r>
      <w:r w:rsidR="00D12E99" w:rsidRPr="00D12E99">
        <w:rPr>
          <w:lang w:val="en-US"/>
        </w:rPr>
        <w:t>æ</w:t>
      </w:r>
      <w:r w:rsidRPr="00D12E99">
        <w:rPr>
          <w:lang w:val="en-US"/>
        </w:rPr>
        <w:t xml:space="preserve"> si mortalibus persuaderi queat, ilico facessant e medio bellum, invidia, fraus, breviter universum malorum agmen semel e vita demigret. Quid aliud egit princeps nostr</w:t>
      </w:r>
      <w:r w:rsidR="00D12E99" w:rsidRPr="00D12E99">
        <w:rPr>
          <w:lang w:val="en-US"/>
        </w:rPr>
        <w:t>æ</w:t>
      </w:r>
      <w:r w:rsidRPr="00D12E99">
        <w:rPr>
          <w:lang w:val="en-US"/>
        </w:rPr>
        <w:t xml:space="preserve"> religionis Christus ? Nimirum unicum dumtaxat pr</w:t>
      </w:r>
      <w:r w:rsidR="00D12E99" w:rsidRPr="00D12E99">
        <w:rPr>
          <w:lang w:val="en-US"/>
        </w:rPr>
        <w:t>æ</w:t>
      </w:r>
      <w:r w:rsidRPr="00D12E99">
        <w:rPr>
          <w:lang w:val="en-US"/>
        </w:rPr>
        <w:t xml:space="preserve">ceptum mundo tradidit caritatis admonens </w:t>
      </w:r>
      <w:r w:rsidR="00EE6281">
        <w:rPr>
          <w:lang w:val="en-US"/>
        </w:rPr>
        <w:t>« </w:t>
      </w:r>
      <w:r w:rsidRPr="00D12E99">
        <w:rPr>
          <w:lang w:val="en-US"/>
        </w:rPr>
        <w:t>ab ea una summam et legum et prophetarum pendere</w:t>
      </w:r>
      <w:r w:rsidR="00EE6281">
        <w:rPr>
          <w:lang w:val="en-US"/>
        </w:rPr>
        <w:t> »</w:t>
      </w:r>
      <w:r w:rsidRPr="00D12E99">
        <w:rPr>
          <w:lang w:val="en-US"/>
        </w:rPr>
        <w:t xml:space="preserve">. </w:t>
      </w:r>
      <w:r w:rsidRPr="00D12E99">
        <w:rPr>
          <w:b/>
          <w:bCs/>
          <w:lang w:val="en-US"/>
        </w:rPr>
        <w:t>[Matth., 22, 40]</w:t>
      </w:r>
      <w:r w:rsidR="00EE6281">
        <w:rPr>
          <w:rStyle w:val="Appelnotedebasdep"/>
          <w:b/>
          <w:bCs/>
          <w:lang w:val="en-US"/>
        </w:rPr>
        <w:footnoteReference w:id="1"/>
      </w:r>
      <w:r w:rsidRPr="00D12E99">
        <w:rPr>
          <w:lang w:val="en-US"/>
        </w:rPr>
        <w:t xml:space="preserve"> Aut quid aliud hortatur caritas quam ut omnium omnia sint communia ? Videlicet, ut amicitia coagmentati cum Christo glutino nimirum eodem, quo ille cum Patre coh</w:t>
      </w:r>
      <w:r w:rsidR="00D12E99" w:rsidRPr="00D12E99">
        <w:rPr>
          <w:lang w:val="en-US"/>
        </w:rPr>
        <w:t>æ</w:t>
      </w:r>
      <w:r w:rsidRPr="00D12E99">
        <w:rPr>
          <w:lang w:val="en-US"/>
        </w:rPr>
        <w:t xml:space="preserve">ret, absolutissimam illam communionem quoad licet imitantes, per quam ille et Pater idem sunt, nos item idem cum illo simus et, ut ait Paulus, </w:t>
      </w:r>
      <w:r w:rsidR="00EE6281">
        <w:rPr>
          <w:lang w:val="en-US"/>
        </w:rPr>
        <w:t>« </w:t>
      </w:r>
      <w:r w:rsidRPr="00D12E99">
        <w:rPr>
          <w:lang w:val="en-US"/>
        </w:rPr>
        <w:t>unus spiritus et una caro</w:t>
      </w:r>
      <w:r w:rsidR="00EE6281">
        <w:rPr>
          <w:lang w:val="en-US"/>
        </w:rPr>
        <w:t> »</w:t>
      </w:r>
      <w:r w:rsidRPr="00D12E99">
        <w:rPr>
          <w:lang w:val="en-US"/>
        </w:rPr>
        <w:t xml:space="preserve"> cum Deo efficiamur, </w:t>
      </w:r>
      <w:r w:rsidRPr="00D12E99">
        <w:rPr>
          <w:b/>
          <w:bCs/>
          <w:lang w:val="en-US"/>
        </w:rPr>
        <w:t>[Eph., 4, 4]</w:t>
      </w:r>
      <w:r w:rsidR="00EE6281">
        <w:rPr>
          <w:rStyle w:val="Appelnotedebasdep"/>
          <w:b/>
          <w:bCs/>
          <w:lang w:val="en-US"/>
        </w:rPr>
        <w:footnoteReference w:id="2"/>
      </w:r>
      <w:r w:rsidRPr="00D12E99">
        <w:rPr>
          <w:lang w:val="en-US"/>
        </w:rPr>
        <w:t xml:space="preserve"> jamque amiciti</w:t>
      </w:r>
      <w:r w:rsidR="00D12E99" w:rsidRPr="00D12E99">
        <w:rPr>
          <w:lang w:val="en-US"/>
        </w:rPr>
        <w:t>æ</w:t>
      </w:r>
      <w:r w:rsidRPr="00D12E99">
        <w:rPr>
          <w:lang w:val="en-US"/>
        </w:rPr>
        <w:t xml:space="preserve"> jure omnia illi nobiscum, omnia nobis cum illo sint communia. Deinde paribus amiciti</w:t>
      </w:r>
      <w:r w:rsidR="00D12E99" w:rsidRPr="00D12E99">
        <w:rPr>
          <w:lang w:val="en-US"/>
        </w:rPr>
        <w:t>æ</w:t>
      </w:r>
      <w:r w:rsidRPr="00D12E99">
        <w:rPr>
          <w:lang w:val="en-US"/>
        </w:rPr>
        <w:t xml:space="preserve"> vinculis alii cum aliis inter nos copulati velut ejusdem capitis membra, tanquam idem et unum corpus et eodem animemur spiritu, iisdem doleamus, iisdem gaudeamus. </w:t>
      </w:r>
      <w:r w:rsidRPr="00FC7D74">
        <w:rPr>
          <w:lang w:val="en-US"/>
        </w:rPr>
        <w:t xml:space="preserve">Id quod etiam mysticus ille panis e pluribus granis in eandem coactus farinam et vini potus e multis racemis in eundem liquorem confusus admonet. </w:t>
      </w:r>
      <w:r w:rsidRPr="00F267BC">
        <w:rPr>
          <w:lang w:val="en-US"/>
        </w:rPr>
        <w:t xml:space="preserve">Postremo, ut cum summa rerum creatarum sit in Deo, Deus vicissim in omnibus, omnium universitas velut in unum redigatur. </w:t>
      </w:r>
      <w:r>
        <w:t>Vides quantum philosophi</w:t>
      </w:r>
      <w:r w:rsidR="00D12E99">
        <w:t>æ</w:t>
      </w:r>
      <w:r>
        <w:t xml:space="preserve"> vel theologi</w:t>
      </w:r>
      <w:r w:rsidR="00D12E99">
        <w:t>æ</w:t>
      </w:r>
      <w:r>
        <w:t xml:space="preserve"> magis oceanum nobis par</w:t>
      </w:r>
      <w:r w:rsidR="00D12E99">
        <w:t>œ</w:t>
      </w:r>
      <w:r>
        <w:t>mia tantilla aperuit.</w:t>
      </w:r>
    </w:p>
    <w:p w14:paraId="58A9F7F0" w14:textId="4EE71ABE" w:rsidR="0077145F" w:rsidRPr="00CC3589" w:rsidRDefault="0077145F" w:rsidP="00DA2733">
      <w:pPr>
        <w:pStyle w:val="Titre2"/>
      </w:pPr>
      <w:r w:rsidRPr="00CC3589">
        <w:lastRenderedPageBreak/>
        <w:t>Pio lectori (</w:t>
      </w:r>
      <w:r w:rsidRPr="00CC3589">
        <w:rPr>
          <w:i/>
          <w:iCs/>
        </w:rPr>
        <w:t>Annotationes</w:t>
      </w:r>
      <w:r w:rsidRPr="00CC3589">
        <w:t>, 1515)</w:t>
      </w:r>
    </w:p>
    <w:p w14:paraId="75263AF6" w14:textId="5CEF0544" w:rsidR="0077145F" w:rsidRPr="00CC3589" w:rsidRDefault="0077145F" w:rsidP="00DA2733">
      <w:r w:rsidRPr="00CC3589">
        <w:t xml:space="preserve">Dans les </w:t>
      </w:r>
      <w:r w:rsidRPr="00CC3589">
        <w:rPr>
          <w:i/>
          <w:iCs/>
        </w:rPr>
        <w:t>Préfaces au Novum Testamentum,</w:t>
      </w:r>
      <w:r w:rsidRPr="00CC3589">
        <w:t xml:space="preserve"> Delègue, Gillet, genève, Labor et Fides, 1990. p. 166-167. </w:t>
      </w:r>
    </w:p>
    <w:p w14:paraId="3BF65438" w14:textId="03E27618" w:rsidR="00B461B9" w:rsidRPr="00CC3589" w:rsidRDefault="0077145F" w:rsidP="00F267BC">
      <w:r w:rsidRPr="00CC3589">
        <w:t>Proinde te, qu</w:t>
      </w:r>
      <w:r w:rsidR="00D12E99">
        <w:t>æ</w:t>
      </w:r>
      <w:r w:rsidRPr="00CC3589">
        <w:t>so lector optime, ut tu quoque vicissim pias aures, et christianum pectus ad legendum adferas. Ne quis h</w:t>
      </w:r>
      <w:r w:rsidR="00D12E99">
        <w:t>æ</w:t>
      </w:r>
      <w:r w:rsidRPr="00CC3589">
        <w:t>c eo animo in manus sumat, quo fortassis sumit noctes Gellianas aut Angeli Politiani miscellanea, videlicet quo nervos ingenii, vim eloquenti</w:t>
      </w:r>
      <w:r w:rsidR="00D12E99">
        <w:t>æ</w:t>
      </w:r>
      <w:r w:rsidRPr="00CC3589">
        <w:t>, et eruditionem retrusam, velu</w:t>
      </w:r>
      <w:r w:rsidR="00B461B9" w:rsidRPr="00CC3589">
        <w:t>t</w:t>
      </w:r>
      <w:r w:rsidRPr="00CC3589">
        <w:t xml:space="preserve"> ad </w:t>
      </w:r>
      <w:r w:rsidR="00B461B9" w:rsidRPr="00CC3589">
        <w:t>L</w:t>
      </w:r>
      <w:r w:rsidRPr="00CC3589">
        <w:t xml:space="preserve">ydium exigat lapidem. In re sacra versamur, et in ea re, </w:t>
      </w:r>
      <w:r w:rsidR="00A249E0" w:rsidRPr="00CC3589">
        <w:t>qu</w:t>
      </w:r>
      <w:r w:rsidR="00D12E99">
        <w:t>æ</w:t>
      </w:r>
      <w:r w:rsidR="00A249E0" w:rsidRPr="00CC3589">
        <w:t xml:space="preserve"> simplicitate puritateque potissimum est orbi commendata</w:t>
      </w:r>
      <w:r w:rsidRPr="00CC3589">
        <w:t xml:space="preserve">. In qua, ridiculum sit humanam eruditionem ostentare velle, impium humanam jactare eloquentiam quam etiam si forsan adesset, dissimulare conveniebat, ne quis illud merito, possit objicere </w:t>
      </w:r>
      <w:r w:rsidRPr="00CC3589">
        <w:rPr>
          <w:lang w:val="el-GR"/>
        </w:rPr>
        <w:t>τὸ</w:t>
      </w:r>
      <w:r w:rsidRPr="00CC3589">
        <w:t xml:space="preserve"> </w:t>
      </w:r>
      <w:r w:rsidRPr="00CC3589">
        <w:rPr>
          <w:lang w:val="el-GR"/>
        </w:rPr>
        <w:t>ἐν</w:t>
      </w:r>
      <w:r w:rsidRPr="00CC3589">
        <w:t xml:space="preserve"> </w:t>
      </w:r>
      <w:r w:rsidRPr="00CC3589">
        <w:rPr>
          <w:lang w:val="el-GR"/>
        </w:rPr>
        <w:t>φακῇ</w:t>
      </w:r>
      <w:r w:rsidRPr="00CC3589">
        <w:t xml:space="preserve"> </w:t>
      </w:r>
      <w:r w:rsidRPr="00CC3589">
        <w:rPr>
          <w:lang w:val="el-GR"/>
        </w:rPr>
        <w:t>μύρον</w:t>
      </w:r>
      <w:r w:rsidRPr="00CC3589">
        <w:t>.</w:t>
      </w:r>
    </w:p>
    <w:p w14:paraId="344447F3" w14:textId="38575EEE" w:rsidR="00AD19C0" w:rsidRPr="00FC7D74" w:rsidRDefault="00AD19C0" w:rsidP="00DA2733">
      <w:pPr>
        <w:pStyle w:val="Titre2"/>
        <w:rPr>
          <w:sz w:val="27"/>
          <w:szCs w:val="27"/>
        </w:rPr>
      </w:pPr>
      <w:r w:rsidRPr="00CC3589">
        <w:t>Adag</w:t>
      </w:r>
      <w:r w:rsidR="00C01979" w:rsidRPr="00CC3589">
        <w:t>e</w:t>
      </w:r>
      <w:r w:rsidRPr="00CC3589">
        <w:t xml:space="preserve"> 2991</w:t>
      </w:r>
      <w:r w:rsidR="00F267BC">
        <w:t> :</w:t>
      </w:r>
      <w:r w:rsidR="00C01979" w:rsidRPr="00CC3589">
        <w:t xml:space="preserve"> </w:t>
      </w:r>
      <w:r w:rsidRPr="00CC3589">
        <w:t>Cu</w:t>
      </w:r>
      <w:r w:rsidRPr="00CC3589">
        <w:rPr>
          <w:sz w:val="27"/>
          <w:szCs w:val="27"/>
        </w:rPr>
        <w:t>licem colant</w:t>
      </w:r>
      <w:r w:rsidR="00FC7D74" w:rsidRPr="00FC7D74">
        <w:t>(</w:t>
      </w:r>
      <w:r w:rsidR="00FC7D74" w:rsidRPr="00FC7D74">
        <w:rPr>
          <w:i/>
          <w:iCs/>
        </w:rPr>
        <w:t>Adages</w:t>
      </w:r>
      <w:r w:rsidR="00FC7D74" w:rsidRPr="00FC7D74">
        <w:t>, 1536, p. </w:t>
      </w:r>
      <w:r w:rsidR="00FC7D74">
        <w:t>854</w:t>
      </w:r>
      <w:r w:rsidR="00FC7D74" w:rsidRPr="00FC7D74">
        <w:t>)</w:t>
      </w:r>
    </w:p>
    <w:p w14:paraId="273AFAC5" w14:textId="0E075998" w:rsidR="00B461B9" w:rsidRPr="00CC3589" w:rsidRDefault="00AD19C0" w:rsidP="00DA2733">
      <w:r w:rsidRPr="00FC7D74">
        <w:rPr>
          <w:lang w:val="en-US"/>
        </w:rPr>
        <w:t xml:space="preserve">Pleraque sunt in Evangelicis literis a vulgo sumpta. Nec id indignum Christo, quin potius vel maxime congruebat, ut, quemadmodum assumpto corpore velut unus quilibet e nobis esse voluit, ita sermonibus quam maxime familiaribus uteretur, quo nostram humilitatem modis omnibus ad suam proveheret sublimitatem. </w:t>
      </w:r>
      <w:r w:rsidRPr="00CC3589">
        <w:t>Verum ex iis non mihi visum fuit plura referre, partim quod quidam p</w:t>
      </w:r>
      <w:r w:rsidR="00D12E99">
        <w:t>œ</w:t>
      </w:r>
      <w:r w:rsidRPr="00CC3589">
        <w:t>ticis nimium addicti studiis parum venustum existimant, quicquid sacras literas redoluerit partim quod ea viderem cuique satis exposita esse ; maxime vero, quod verebar, ne quis homo pius existimaret me divinis literis injuriam facere, si eas huic operi subinde miscuissem, in quo non modo gentilia pleraque, verum etiam qu</w:t>
      </w:r>
      <w:r w:rsidR="00D12E99">
        <w:t>æ</w:t>
      </w:r>
      <w:r w:rsidRPr="00CC3589">
        <w:t>dam non admodum munda. Qu</w:t>
      </w:r>
      <w:r w:rsidR="00D12E99">
        <w:t>æ</w:t>
      </w:r>
      <w:r w:rsidRPr="00CC3589">
        <w:t xml:space="preserve"> nos et inviti et quam potuimus tectissime retulimus, nec ea quidem omnia. C</w:t>
      </w:r>
      <w:r w:rsidR="00D12E99">
        <w:t>æ</w:t>
      </w:r>
      <w:r w:rsidRPr="00CC3589">
        <w:t>terum ex Evangelicis adagiis illud non possum pr</w:t>
      </w:r>
      <w:r w:rsidR="00D12E99">
        <w:t>æ</w:t>
      </w:r>
      <w:r w:rsidRPr="00CC3589">
        <w:t>termittere, quod in superstitiosos quosdam et pr</w:t>
      </w:r>
      <w:r w:rsidR="00D12E99">
        <w:t>æ</w:t>
      </w:r>
      <w:r w:rsidRPr="00CC3589">
        <w:t>postere meticulosos dictum est pr</w:t>
      </w:r>
      <w:r w:rsidR="00D12E99">
        <w:t>æ</w:t>
      </w:r>
      <w:r w:rsidRPr="00CC3589">
        <w:t xml:space="preserve">ceptori nostro Iesu, qui vel ignorantes vel dissimulantes, quibus in rebus sita sit vera Christianaque pietas, in nugis sibi nunc placent, nunc trepidant, in maximis securi, </w:t>
      </w:r>
      <w:bookmarkStart w:id="1" w:name="_Hlk169794011"/>
      <w:r w:rsidRPr="00CC3589">
        <w:t>pleni Judaicarum superstitionum</w:t>
      </w:r>
      <w:bookmarkEnd w:id="1"/>
      <w:r w:rsidRPr="00CC3589">
        <w:t>, vera caritate vacui. In hos Christus ver</w:t>
      </w:r>
      <w:r w:rsidR="00D12E99">
        <w:t>æ</w:t>
      </w:r>
      <w:r w:rsidRPr="00CC3589">
        <w:t xml:space="preserve"> pietatis doctor Matth. XXIII. Hujusmodi torquet proverbium</w:t>
      </w:r>
      <w:r w:rsidR="00F267BC">
        <w:t> :</w:t>
      </w:r>
      <w:r w:rsidRPr="00CC3589">
        <w:t xml:space="preserve"> Τὸν κώνωπα διυλίζουσι τὴν κάμηλον καταπίνοντες, id est Culicem liquant camelum glutientes. Ab hoc non abhorret, quod alibi retulimus, Ἀνδριάντα γαργαλίζειν, id est Statuam colare gutture. </w:t>
      </w:r>
      <w:r w:rsidR="00B461B9" w:rsidRPr="00CC3589">
        <w:br w:type="page"/>
      </w:r>
    </w:p>
    <w:p w14:paraId="4D8095AB" w14:textId="6995CBE6" w:rsidR="00AD19C0" w:rsidRPr="00CC3589" w:rsidRDefault="00B840A2" w:rsidP="00DA2733">
      <w:pPr>
        <w:pStyle w:val="Titre1"/>
      </w:pPr>
      <w:r w:rsidRPr="00CC3589">
        <w:lastRenderedPageBreak/>
        <w:t>Comparaisons de traductions</w:t>
      </w:r>
    </w:p>
    <w:p w14:paraId="1CB315E9" w14:textId="7C2D5C2F" w:rsidR="00AD19C0" w:rsidRPr="00CC3589" w:rsidRDefault="00AD19C0" w:rsidP="00DA2733">
      <w:pPr>
        <w:pStyle w:val="Titre2"/>
      </w:pPr>
      <w:r w:rsidRPr="00CC3589">
        <w:t xml:space="preserve">Adage </w:t>
      </w:r>
      <w:r w:rsidR="00C01979" w:rsidRPr="00CC3589">
        <w:t>591</w:t>
      </w:r>
      <w:r w:rsidR="00F267BC">
        <w:t> :</w:t>
      </w:r>
      <w:r w:rsidR="00C01979" w:rsidRPr="00CC3589">
        <w:t xml:space="preserve"> Festucam ex alterius oculo ejicere</w:t>
      </w:r>
      <w:r w:rsidR="00C01979" w:rsidRPr="00CC3589">
        <w:br/>
        <w:t>Citation de Matth.</w:t>
      </w:r>
      <w:r w:rsidR="00F267BC">
        <w:t> :</w:t>
      </w:r>
      <w:r w:rsidR="00C01979" w:rsidRPr="00CC3589">
        <w:t xml:space="preserve"> 7, 3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9"/>
        <w:gridCol w:w="2836"/>
        <w:gridCol w:w="2847"/>
      </w:tblGrid>
      <w:tr w:rsidR="00C01979" w:rsidRPr="00CC3589" w14:paraId="013D9396" w14:textId="77777777" w:rsidTr="005420CF">
        <w:trPr>
          <w:trHeight w:val="552"/>
        </w:trPr>
        <w:tc>
          <w:tcPr>
            <w:tcW w:w="3379" w:type="dxa"/>
            <w:hideMark/>
          </w:tcPr>
          <w:p w14:paraId="4EE91415" w14:textId="21DD5B87" w:rsidR="00C01979" w:rsidRPr="00CC3589" w:rsidRDefault="00C01979" w:rsidP="00DA2733">
            <w:r w:rsidRPr="00CC3589">
              <w:t>Adage</w:t>
            </w:r>
            <w:r w:rsidR="005420CF" w:rsidRPr="00CC3589">
              <w:t>s</w:t>
            </w:r>
          </w:p>
        </w:tc>
        <w:tc>
          <w:tcPr>
            <w:tcW w:w="2836" w:type="dxa"/>
            <w:hideMark/>
          </w:tcPr>
          <w:p w14:paraId="5EB44EC8" w14:textId="7A8E63B8" w:rsidR="00C01979" w:rsidRPr="00CC3589" w:rsidRDefault="00C01979" w:rsidP="00DA2733">
            <w:r w:rsidRPr="00CC3589">
              <w:t>Vulgate</w:t>
            </w:r>
          </w:p>
        </w:tc>
        <w:tc>
          <w:tcPr>
            <w:tcW w:w="2847" w:type="dxa"/>
            <w:hideMark/>
          </w:tcPr>
          <w:p w14:paraId="463F30BD" w14:textId="47DF5B66" w:rsidR="00C01979" w:rsidRPr="00CC3589" w:rsidRDefault="00C01979" w:rsidP="00DA2733">
            <w:r w:rsidRPr="00CC3589">
              <w:t>Nouum Instrumentum</w:t>
            </w:r>
          </w:p>
        </w:tc>
      </w:tr>
      <w:tr w:rsidR="00C01979" w:rsidRPr="00CC3589" w14:paraId="2A8DB27A" w14:textId="77777777" w:rsidTr="005420CF">
        <w:trPr>
          <w:trHeight w:val="1932"/>
        </w:trPr>
        <w:tc>
          <w:tcPr>
            <w:tcW w:w="3379" w:type="dxa"/>
            <w:hideMark/>
          </w:tcPr>
          <w:p w14:paraId="32539B90" w14:textId="5C1E86CB" w:rsidR="00C01979" w:rsidRPr="00CC3589" w:rsidRDefault="00C01979" w:rsidP="00DA2733">
            <w:r w:rsidRPr="00CC3589">
              <w:t>[B</w:t>
            </w:r>
            <w:r w:rsidR="006A49E4" w:rsidRPr="00CC3589">
              <w:t xml:space="preserve"> 1515</w:t>
            </w:r>
            <w:r w:rsidRPr="00CC3589">
              <w:t xml:space="preserve">] Τί δὲ </w:t>
            </w:r>
            <w:r w:rsidRPr="00CC3589">
              <w:rPr>
                <w:b/>
                <w:bCs/>
              </w:rPr>
              <w:t>βλέπεις</w:t>
            </w:r>
            <w:r w:rsidRPr="00CC3589">
              <w:t xml:space="preserve"> τὸ κάρφος ἐν τῷ ὀφταλμῷ τοῦ ἀδελφοῦ σου, [C</w:t>
            </w:r>
            <w:r w:rsidR="006A49E4" w:rsidRPr="00CC3589">
              <w:t xml:space="preserve"> 1517</w:t>
            </w:r>
            <w:r w:rsidRPr="00CC3589">
              <w:t xml:space="preserve">] τὴν δὲ ἐν τῷ σῷ ὀφθαλμῷ [B] δοκὸν </w:t>
            </w:r>
            <w:r w:rsidRPr="00CC3589">
              <w:rPr>
                <w:b/>
                <w:bCs/>
              </w:rPr>
              <w:t>οὐ κατανοεῖς</w:t>
            </w:r>
            <w:r w:rsidRPr="00CC3589">
              <w:t xml:space="preserve"> ; ἢ πῶς ἐρεῖς τῷ ἀδελφῷ σου· ἄφες ἐκβάλω τὸ κάρφος ἐκ τοῦ ὀφταλμοῦ σου, καὶ ἰδοὺ ἡ δοκὸς ἐν τῷ ὀφταλμῷ σου; </w:t>
            </w:r>
            <w:r w:rsidRPr="00CC3589">
              <w:rPr>
                <w:i/>
                <w:iCs/>
              </w:rPr>
              <w:t xml:space="preserve">= Quid autem </w:t>
            </w:r>
            <w:r w:rsidRPr="00CC3589">
              <w:rPr>
                <w:b/>
                <w:bCs/>
                <w:i/>
                <w:iCs/>
              </w:rPr>
              <w:t>vides</w:t>
            </w:r>
            <w:r w:rsidRPr="00CC3589">
              <w:rPr>
                <w:i/>
                <w:iCs/>
              </w:rPr>
              <w:t xml:space="preserve"> festucam in oculo fratris tui, trabem vero, qu</w:t>
            </w:r>
            <w:r w:rsidR="00D12E99">
              <w:rPr>
                <w:i/>
                <w:iCs/>
              </w:rPr>
              <w:t>æ</w:t>
            </w:r>
            <w:r w:rsidRPr="00CC3589">
              <w:rPr>
                <w:i/>
                <w:iCs/>
              </w:rPr>
              <w:t xml:space="preserve"> in oculo tuo est,</w:t>
            </w:r>
            <w:r w:rsidRPr="00CC3589">
              <w:rPr>
                <w:b/>
                <w:bCs/>
                <w:i/>
                <w:iCs/>
              </w:rPr>
              <w:t xml:space="preserve"> non intelligis</w:t>
            </w:r>
            <w:r w:rsidR="00F267BC">
              <w:rPr>
                <w:i/>
                <w:iCs/>
              </w:rPr>
              <w:t> ?</w:t>
            </w:r>
            <w:r w:rsidRPr="00CC3589">
              <w:rPr>
                <w:i/>
                <w:iCs/>
              </w:rPr>
              <w:t xml:space="preserve"> Aut quomodo dices fratri tuo, sine ejiciam festucam ex oculo tuo et ecce trabes in oculo tuo</w:t>
            </w:r>
            <w:r w:rsidR="00F267BC">
              <w:rPr>
                <w:i/>
                <w:iCs/>
              </w:rPr>
              <w:t> ?</w:t>
            </w:r>
          </w:p>
        </w:tc>
        <w:tc>
          <w:tcPr>
            <w:tcW w:w="2836" w:type="dxa"/>
            <w:hideMark/>
          </w:tcPr>
          <w:p w14:paraId="4C83B463" w14:textId="406C5714" w:rsidR="00C01979" w:rsidRPr="00CC3589" w:rsidRDefault="00C01979" w:rsidP="00DA2733">
            <w:r w:rsidRPr="00CC3589">
              <w:t xml:space="preserve">Quid autem </w:t>
            </w:r>
            <w:r w:rsidRPr="00CC3589">
              <w:rPr>
                <w:b/>
                <w:bCs/>
              </w:rPr>
              <w:t>vides</w:t>
            </w:r>
            <w:r w:rsidRPr="00CC3589">
              <w:t xml:space="preserve"> festucam in oculo fratris tui, et trabem in oculo tuo </w:t>
            </w:r>
            <w:r w:rsidRPr="00CC3589">
              <w:rPr>
                <w:b/>
                <w:bCs/>
              </w:rPr>
              <w:t>non vides</w:t>
            </w:r>
            <w:r w:rsidR="00F267BC">
              <w:rPr>
                <w:b/>
                <w:bCs/>
              </w:rPr>
              <w:t> ?</w:t>
            </w:r>
            <w:r w:rsidRPr="00CC3589">
              <w:t xml:space="preserve"> 4 aut quomodo dicis fratri tuo: Sine ejiciam festucam de oculo tuo, et ecce trabs est in oculo tuo</w:t>
            </w:r>
            <w:r w:rsidR="00F267BC">
              <w:t> ?</w:t>
            </w:r>
            <w:r w:rsidRPr="00CC3589">
              <w:t xml:space="preserve"> </w:t>
            </w:r>
          </w:p>
        </w:tc>
        <w:tc>
          <w:tcPr>
            <w:tcW w:w="2847" w:type="dxa"/>
            <w:hideMark/>
          </w:tcPr>
          <w:p w14:paraId="31327BC9" w14:textId="0B99588A" w:rsidR="00C01979" w:rsidRPr="00CC3589" w:rsidRDefault="00C01979" w:rsidP="00DA2733">
            <w:r w:rsidRPr="00CC3589">
              <w:t xml:space="preserve">Cur autem </w:t>
            </w:r>
            <w:r w:rsidRPr="00CC3589">
              <w:rPr>
                <w:b/>
                <w:bCs/>
              </w:rPr>
              <w:t>uides</w:t>
            </w:r>
            <w:r w:rsidRPr="00CC3589">
              <w:t xml:space="preserve"> fetuscam, qu</w:t>
            </w:r>
            <w:r w:rsidR="00D12E99">
              <w:t>æ</w:t>
            </w:r>
            <w:r w:rsidRPr="00CC3589">
              <w:t xml:space="preserve"> est in oculo fratris tui, trabem autem qu</w:t>
            </w:r>
            <w:r w:rsidR="00D12E99">
              <w:t>æ</w:t>
            </w:r>
            <w:r w:rsidRPr="00CC3589">
              <w:t xml:space="preserve"> est in oculo tuo, </w:t>
            </w:r>
            <w:r w:rsidRPr="00CC3589">
              <w:rPr>
                <w:b/>
                <w:bCs/>
              </w:rPr>
              <w:t>non animaduertis</w:t>
            </w:r>
            <w:r w:rsidR="00F267BC">
              <w:rPr>
                <w:b/>
              </w:rPr>
              <w:t> ?</w:t>
            </w:r>
            <w:r w:rsidRPr="00CC3589">
              <w:t xml:space="preserve"> Aut quomodo dicis fratri tuo, sine eximam festucam ex oculo tuo, &amp; ecce trabes est in oculo tuo</w:t>
            </w:r>
            <w:r w:rsidR="00F267BC">
              <w:t> ?</w:t>
            </w:r>
          </w:p>
          <w:p w14:paraId="73AC0D78" w14:textId="1DDC8DA4" w:rsidR="000E2357" w:rsidRPr="00CC3589" w:rsidRDefault="000E2357" w:rsidP="00DA2733"/>
        </w:tc>
      </w:tr>
    </w:tbl>
    <w:p w14:paraId="269E3979" w14:textId="14F69670" w:rsidR="000A7700" w:rsidRPr="00CC3589" w:rsidRDefault="00B2166F" w:rsidP="00DA2733">
      <w:pPr>
        <w:pStyle w:val="Titre2"/>
      </w:pPr>
      <w:r w:rsidRPr="00CC3589">
        <w:t>Adage 2, symbole 3</w:t>
      </w:r>
      <w:r w:rsidR="00F267BC">
        <w:t> :</w:t>
      </w:r>
      <w:r w:rsidRPr="00CC3589">
        <w:t xml:space="preserve"> Ch</w:t>
      </w:r>
      <w:r w:rsidR="00D12E99">
        <w:t>œ</w:t>
      </w:r>
      <w:r w:rsidRPr="00CC3589">
        <w:t>nici ne insideas</w:t>
      </w:r>
    </w:p>
    <w:p w14:paraId="69975508" w14:textId="294A80C1" w:rsidR="00072E3F" w:rsidRPr="00CC3589" w:rsidRDefault="00072E3F" w:rsidP="00DA2733">
      <w:r w:rsidRPr="00CC3589">
        <w:t>Citation de II Thess.</w:t>
      </w:r>
      <w:r w:rsidR="00F267BC">
        <w:t> :</w:t>
      </w:r>
      <w:r w:rsidRPr="00CC3589">
        <w:t xml:space="preserve"> 3, 10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3"/>
        <w:gridCol w:w="2831"/>
        <w:gridCol w:w="2842"/>
      </w:tblGrid>
      <w:tr w:rsidR="000A7700" w:rsidRPr="00CC3589" w14:paraId="4EB109F8" w14:textId="77777777" w:rsidTr="00B2166F">
        <w:trPr>
          <w:trHeight w:val="243"/>
        </w:trPr>
        <w:tc>
          <w:tcPr>
            <w:tcW w:w="3373" w:type="dxa"/>
            <w:hideMark/>
          </w:tcPr>
          <w:p w14:paraId="7AF09699" w14:textId="77777777" w:rsidR="000A7700" w:rsidRPr="00CC3589" w:rsidRDefault="000A7700" w:rsidP="00DA2733">
            <w:r w:rsidRPr="00CC3589">
              <w:t>Adages</w:t>
            </w:r>
          </w:p>
        </w:tc>
        <w:tc>
          <w:tcPr>
            <w:tcW w:w="2831" w:type="dxa"/>
            <w:hideMark/>
          </w:tcPr>
          <w:p w14:paraId="7ACE590D" w14:textId="5471C6B8" w:rsidR="000A7700" w:rsidRPr="00CC3589" w:rsidRDefault="000A7700" w:rsidP="00DA2733">
            <w:r w:rsidRPr="00CC3589">
              <w:t>Vulgate</w:t>
            </w:r>
            <w:r w:rsidR="003E2A76" w:rsidRPr="00CC3589">
              <w:t xml:space="preserve"> - NT grec</w:t>
            </w:r>
          </w:p>
        </w:tc>
        <w:tc>
          <w:tcPr>
            <w:tcW w:w="2842" w:type="dxa"/>
            <w:hideMark/>
          </w:tcPr>
          <w:p w14:paraId="593B3019" w14:textId="77777777" w:rsidR="000A7700" w:rsidRPr="00CC3589" w:rsidRDefault="000A7700" w:rsidP="00DA2733">
            <w:r w:rsidRPr="00CC3589">
              <w:t>Nouum Instrumentum</w:t>
            </w:r>
          </w:p>
        </w:tc>
      </w:tr>
      <w:tr w:rsidR="000A7700" w:rsidRPr="00CC3589" w14:paraId="29C23268" w14:textId="77777777" w:rsidTr="00B2166F">
        <w:trPr>
          <w:trHeight w:val="851"/>
        </w:trPr>
        <w:tc>
          <w:tcPr>
            <w:tcW w:w="3373" w:type="dxa"/>
            <w:hideMark/>
          </w:tcPr>
          <w:p w14:paraId="78D85598" w14:textId="04AEBF6D" w:rsidR="000A7700" w:rsidRPr="00CC3589" w:rsidRDefault="00B2166F" w:rsidP="00DA2733">
            <w:r w:rsidRPr="00CC3589">
              <w:t>[A] Qui non laborat non manducet.</w:t>
            </w:r>
          </w:p>
        </w:tc>
        <w:tc>
          <w:tcPr>
            <w:tcW w:w="2831" w:type="dxa"/>
            <w:hideMark/>
          </w:tcPr>
          <w:p w14:paraId="0A414F3B" w14:textId="77777777" w:rsidR="000A7700" w:rsidRPr="00CC3589" w:rsidRDefault="00B2166F" w:rsidP="00DA2733">
            <w:r w:rsidRPr="00CC3589">
              <w:t>si quis non vult operari, nec manducet</w:t>
            </w:r>
          </w:p>
          <w:p w14:paraId="5904F1BB" w14:textId="77777777" w:rsidR="003E2A76" w:rsidRPr="00CC3589" w:rsidRDefault="003E2A76" w:rsidP="00DA2733"/>
          <w:p w14:paraId="1E5894A4" w14:textId="5CEC4FE6" w:rsidR="003E2A76" w:rsidRPr="00CC3589" w:rsidRDefault="003E2A76" w:rsidP="00DA2733">
            <w:r w:rsidRPr="00CC3589">
              <w:t>εἴ τις οὐ θέλει ἐργάζεσθαι, μηδὲ ἐσθιέτω</w:t>
            </w:r>
          </w:p>
        </w:tc>
        <w:tc>
          <w:tcPr>
            <w:tcW w:w="2842" w:type="dxa"/>
            <w:hideMark/>
          </w:tcPr>
          <w:p w14:paraId="474B2B20" w14:textId="764D5A8D" w:rsidR="000A7700" w:rsidRPr="00CC3589" w:rsidRDefault="00B2166F" w:rsidP="00DA2733">
            <w:r w:rsidRPr="00CC3589">
              <w:t>si quis nollet operari, is nec ederet</w:t>
            </w:r>
          </w:p>
        </w:tc>
      </w:tr>
    </w:tbl>
    <w:p w14:paraId="5C0D8C88" w14:textId="14B9DE9B" w:rsidR="00072E3F" w:rsidRPr="00CC3589" w:rsidRDefault="00072E3F" w:rsidP="00F267BC">
      <w:pPr>
        <w:pStyle w:val="Titre2"/>
        <w:rPr>
          <w:b w:val="0"/>
          <w:bCs w:val="0"/>
        </w:rPr>
      </w:pPr>
      <w:r w:rsidRPr="00CC3589">
        <w:t>Adage 960</w:t>
      </w:r>
      <w:r w:rsidR="00F267BC">
        <w:t> :</w:t>
      </w:r>
      <w:r w:rsidRPr="00CC3589">
        <w:t xml:space="preserve"> Oportet testudinis carnes aut edere aut non edere</w:t>
      </w:r>
      <w:r w:rsidR="00F267BC">
        <w:br/>
      </w:r>
      <w:r w:rsidRPr="00CC3589">
        <w:t>Citation de Ap.</w:t>
      </w:r>
      <w:r w:rsidR="00F267BC">
        <w:t> :</w:t>
      </w:r>
      <w:r w:rsidRPr="00CC3589">
        <w:t xml:space="preserve"> 3, 15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3"/>
        <w:gridCol w:w="2831"/>
        <w:gridCol w:w="2842"/>
      </w:tblGrid>
      <w:tr w:rsidR="00072E3F" w:rsidRPr="00CC3589" w14:paraId="7C8B6428" w14:textId="77777777" w:rsidTr="00BC0D99">
        <w:trPr>
          <w:trHeight w:val="243"/>
        </w:trPr>
        <w:tc>
          <w:tcPr>
            <w:tcW w:w="3373" w:type="dxa"/>
            <w:hideMark/>
          </w:tcPr>
          <w:p w14:paraId="38F987CD" w14:textId="77777777" w:rsidR="00072E3F" w:rsidRPr="00CC3589" w:rsidRDefault="00072E3F" w:rsidP="00DA2733">
            <w:r w:rsidRPr="00CC3589">
              <w:t>Adages</w:t>
            </w:r>
          </w:p>
        </w:tc>
        <w:tc>
          <w:tcPr>
            <w:tcW w:w="2831" w:type="dxa"/>
            <w:hideMark/>
          </w:tcPr>
          <w:p w14:paraId="57DBA328" w14:textId="625334B4" w:rsidR="00072E3F" w:rsidRPr="00CC3589" w:rsidRDefault="00072E3F" w:rsidP="00DA2733">
            <w:r w:rsidRPr="00CC3589">
              <w:t>Vulgate</w:t>
            </w:r>
            <w:r w:rsidR="00DF5BA8" w:rsidRPr="00CC3589">
              <w:t xml:space="preserve"> - NT grec</w:t>
            </w:r>
          </w:p>
        </w:tc>
        <w:tc>
          <w:tcPr>
            <w:tcW w:w="2842" w:type="dxa"/>
            <w:hideMark/>
          </w:tcPr>
          <w:p w14:paraId="200F0DA6" w14:textId="77777777" w:rsidR="00072E3F" w:rsidRPr="00CC3589" w:rsidRDefault="00072E3F" w:rsidP="00DA2733">
            <w:r w:rsidRPr="00CC3589">
              <w:t>Nouum Instrumentum</w:t>
            </w:r>
          </w:p>
        </w:tc>
      </w:tr>
      <w:tr w:rsidR="00072E3F" w:rsidRPr="00CC3589" w14:paraId="0785C4E4" w14:textId="77777777" w:rsidTr="00BC0D99">
        <w:trPr>
          <w:trHeight w:val="851"/>
        </w:trPr>
        <w:tc>
          <w:tcPr>
            <w:tcW w:w="3373" w:type="dxa"/>
            <w:hideMark/>
          </w:tcPr>
          <w:p w14:paraId="0A8E3DFB" w14:textId="52FB27CE" w:rsidR="00072E3F" w:rsidRPr="00CC3589" w:rsidRDefault="00072E3F" w:rsidP="00DA2733">
            <w:r w:rsidRPr="00CC3589">
              <w:t>[B] Utinam aut calidus esses aut frigidus.</w:t>
            </w:r>
          </w:p>
        </w:tc>
        <w:tc>
          <w:tcPr>
            <w:tcW w:w="2831" w:type="dxa"/>
            <w:hideMark/>
          </w:tcPr>
          <w:p w14:paraId="05B88A60" w14:textId="0A958373" w:rsidR="00072E3F" w:rsidRPr="00CC3589" w:rsidRDefault="00072E3F" w:rsidP="00DA2733">
            <w:r w:rsidRPr="00CC3589">
              <w:t>utinam frigidus esses, aut calidus</w:t>
            </w:r>
            <w:r w:rsidR="00C72D53" w:rsidRPr="00CC3589">
              <w:t xml:space="preserve"> </w:t>
            </w:r>
          </w:p>
          <w:p w14:paraId="2B9C9F20" w14:textId="77777777" w:rsidR="00DF5BA8" w:rsidRPr="00CC3589" w:rsidRDefault="00DF5BA8" w:rsidP="00DA2733"/>
          <w:p w14:paraId="0DEC8BF2" w14:textId="7D084D01" w:rsidR="00DF5BA8" w:rsidRPr="00CC3589" w:rsidRDefault="00DF5BA8" w:rsidP="00DA2733">
            <w:r w:rsidRPr="00CC3589">
              <w:t>ὄφελον ψυχρὸς ἦς ἢ ζεστός</w:t>
            </w:r>
          </w:p>
        </w:tc>
        <w:tc>
          <w:tcPr>
            <w:tcW w:w="2842" w:type="dxa"/>
            <w:hideMark/>
          </w:tcPr>
          <w:p w14:paraId="46C17A83" w14:textId="5B236E37" w:rsidR="00072E3F" w:rsidRPr="00CC3589" w:rsidRDefault="00072E3F" w:rsidP="00DA2733">
            <w:r w:rsidRPr="00CC3589">
              <w:t>utinam frigidus esses aut feruidus</w:t>
            </w:r>
          </w:p>
        </w:tc>
      </w:tr>
    </w:tbl>
    <w:p w14:paraId="5A23CFC2" w14:textId="4709D4BB" w:rsidR="00C66342" w:rsidRPr="00CC3589" w:rsidRDefault="00C66342" w:rsidP="00DA2733">
      <w:r w:rsidRPr="00CC3589">
        <w:br w:type="page"/>
      </w:r>
    </w:p>
    <w:p w14:paraId="5F32E532" w14:textId="77777777" w:rsidR="000A7700" w:rsidRPr="00CC3589" w:rsidRDefault="000A7700" w:rsidP="00DA2733"/>
    <w:p w14:paraId="283065AE" w14:textId="26390CA6" w:rsidR="00892A62" w:rsidRPr="00CC3589" w:rsidRDefault="005420CF" w:rsidP="00F267BC">
      <w:pPr>
        <w:pStyle w:val="Titre2"/>
      </w:pPr>
      <w:r w:rsidRPr="00CC3589">
        <w:t>Adage 730</w:t>
      </w:r>
      <w:r w:rsidR="00F267BC">
        <w:t> :</w:t>
      </w:r>
      <w:r w:rsidRPr="00CC3589">
        <w:t xml:space="preserve"> Ex eodem ore calidum et frigidum efflare</w:t>
      </w:r>
      <w:r w:rsidR="004A7FD5" w:rsidRPr="00CC3589">
        <w:br/>
        <w:t>Citation de Iac.</w:t>
      </w:r>
      <w:r w:rsidR="00F267BC">
        <w:t> :</w:t>
      </w:r>
      <w:r w:rsidR="004A7FD5" w:rsidRPr="00CC3589">
        <w:t xml:space="preserve"> 3, 10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74"/>
        <w:gridCol w:w="2774"/>
      </w:tblGrid>
      <w:tr w:rsidR="005420CF" w:rsidRPr="00CC3589" w14:paraId="2085BA58" w14:textId="77777777" w:rsidTr="005420CF">
        <w:trPr>
          <w:trHeight w:val="416"/>
        </w:trPr>
        <w:tc>
          <w:tcPr>
            <w:tcW w:w="3114" w:type="dxa"/>
            <w:hideMark/>
          </w:tcPr>
          <w:p w14:paraId="5319D75B" w14:textId="020715B1" w:rsidR="005420CF" w:rsidRPr="00CC3589" w:rsidRDefault="005420CF" w:rsidP="00DA2733">
            <w:r w:rsidRPr="00CC3589">
              <w:t>Adages</w:t>
            </w:r>
          </w:p>
        </w:tc>
        <w:tc>
          <w:tcPr>
            <w:tcW w:w="3174" w:type="dxa"/>
            <w:hideMark/>
          </w:tcPr>
          <w:p w14:paraId="2167A5B0" w14:textId="689C0B98" w:rsidR="005420CF" w:rsidRPr="00CC3589" w:rsidRDefault="005420CF" w:rsidP="00DA2733">
            <w:r w:rsidRPr="00CC3589">
              <w:t xml:space="preserve">Vulgate - </w:t>
            </w:r>
            <w:r w:rsidR="007641BE" w:rsidRPr="00CC3589">
              <w:t>NT grec</w:t>
            </w:r>
          </w:p>
        </w:tc>
        <w:tc>
          <w:tcPr>
            <w:tcW w:w="2774" w:type="dxa"/>
            <w:hideMark/>
          </w:tcPr>
          <w:p w14:paraId="204C0C6F" w14:textId="675924A7" w:rsidR="005420CF" w:rsidRPr="00CC3589" w:rsidRDefault="005420CF" w:rsidP="00DA2733">
            <w:r w:rsidRPr="00CC3589">
              <w:t>Nouum Instrumentum</w:t>
            </w:r>
            <w:r w:rsidR="000E2357" w:rsidRPr="00CC3589">
              <w:t xml:space="preserve"> (1516)</w:t>
            </w:r>
          </w:p>
        </w:tc>
      </w:tr>
      <w:tr w:rsidR="005420CF" w:rsidRPr="003E2A76" w14:paraId="43C3DA20" w14:textId="77777777" w:rsidTr="005420CF">
        <w:trPr>
          <w:trHeight w:val="3238"/>
        </w:trPr>
        <w:tc>
          <w:tcPr>
            <w:tcW w:w="3114" w:type="dxa"/>
            <w:hideMark/>
          </w:tcPr>
          <w:p w14:paraId="454A8867" w14:textId="3CA46D76" w:rsidR="005420CF" w:rsidRPr="00CC3589" w:rsidRDefault="005420CF" w:rsidP="00DA2733">
            <w:r w:rsidRPr="00CC3589">
              <w:t>[B</w:t>
            </w:r>
            <w:r w:rsidR="006A49E4" w:rsidRPr="00CC3589">
              <w:t xml:space="preserve"> 1515</w:t>
            </w:r>
            <w:r w:rsidRPr="00CC3589">
              <w:t xml:space="preserve">] Ἐκ τοῦ αὐτοῦ στόματος βρύει τὸ γλυκὺ καὶ τὸ πικρόν </w:t>
            </w:r>
            <w:r w:rsidRPr="00CC3589">
              <w:rPr>
                <w:i/>
                <w:iCs/>
              </w:rPr>
              <w:t xml:space="preserve">= </w:t>
            </w:r>
            <w:r w:rsidRPr="00CC3589">
              <w:t>[A</w:t>
            </w:r>
            <w:r w:rsidR="006A49E4" w:rsidRPr="00CC3589">
              <w:t xml:space="preserve"> 1508</w:t>
            </w:r>
            <w:r w:rsidRPr="00CC3589">
              <w:t>]</w:t>
            </w:r>
            <w:r w:rsidRPr="00CC3589">
              <w:rPr>
                <w:i/>
                <w:iCs/>
              </w:rPr>
              <w:t xml:space="preserve"> Ex eodem ore emanat dulce et amarum.</w:t>
            </w:r>
          </w:p>
        </w:tc>
        <w:tc>
          <w:tcPr>
            <w:tcW w:w="3174" w:type="dxa"/>
            <w:hideMark/>
          </w:tcPr>
          <w:p w14:paraId="60C156BC" w14:textId="3CD0142F" w:rsidR="005420CF" w:rsidRPr="00CC3589" w:rsidRDefault="005420CF" w:rsidP="00DA2733">
            <w:r w:rsidRPr="00CC3589">
              <w:t>Ex ipso ore procedit benedictio et maledictio (…) Numquid fons de eodem foramine emanat dulcem et amaram aquam</w:t>
            </w:r>
            <w:r w:rsidR="00F267BC">
              <w:t> ?</w:t>
            </w:r>
          </w:p>
          <w:p w14:paraId="46162D1B" w14:textId="77777777" w:rsidR="005420CF" w:rsidRPr="00CC3589" w:rsidRDefault="005420CF" w:rsidP="00DA2733"/>
          <w:p w14:paraId="575FA75E" w14:textId="15FB0A77" w:rsidR="005420CF" w:rsidRPr="00CC3589" w:rsidRDefault="005420CF" w:rsidP="00DA2733">
            <w:r w:rsidRPr="00CC3589">
              <w:rPr>
                <w:lang w:val="el-GR"/>
              </w:rPr>
              <w:t>ἐκ</w:t>
            </w:r>
            <w:r w:rsidRPr="00CC3589">
              <w:t xml:space="preserve"> </w:t>
            </w:r>
            <w:r w:rsidRPr="00CC3589">
              <w:rPr>
                <w:lang w:val="el-GR"/>
              </w:rPr>
              <w:t>τοῦ</w:t>
            </w:r>
            <w:r w:rsidRPr="00CC3589">
              <w:t xml:space="preserve"> </w:t>
            </w:r>
            <w:r w:rsidRPr="00CC3589">
              <w:rPr>
                <w:lang w:val="el-GR"/>
              </w:rPr>
              <w:t>αὐτοῦ</w:t>
            </w:r>
            <w:r w:rsidRPr="00CC3589">
              <w:t xml:space="preserve"> </w:t>
            </w:r>
            <w:r w:rsidRPr="00CC3589">
              <w:rPr>
                <w:lang w:val="el-GR"/>
              </w:rPr>
              <w:t>στόματος</w:t>
            </w:r>
            <w:r w:rsidRPr="00CC3589">
              <w:t xml:space="preserve"> </w:t>
            </w:r>
            <w:r w:rsidRPr="00CC3589">
              <w:rPr>
                <w:lang w:val="el-GR"/>
              </w:rPr>
              <w:t>ἐξέρχεται</w:t>
            </w:r>
            <w:r w:rsidRPr="00CC3589">
              <w:t xml:space="preserve"> </w:t>
            </w:r>
            <w:r w:rsidRPr="00CC3589">
              <w:rPr>
                <w:lang w:val="el-GR"/>
              </w:rPr>
              <w:t>εὐλογία</w:t>
            </w:r>
            <w:r w:rsidRPr="00CC3589">
              <w:t xml:space="preserve"> </w:t>
            </w:r>
            <w:r w:rsidRPr="00CC3589">
              <w:rPr>
                <w:lang w:val="el-GR"/>
              </w:rPr>
              <w:t>καὶ</w:t>
            </w:r>
            <w:r w:rsidRPr="00CC3589">
              <w:t xml:space="preserve"> </w:t>
            </w:r>
            <w:r w:rsidRPr="00CC3589">
              <w:rPr>
                <w:lang w:val="el-GR"/>
              </w:rPr>
              <w:t>κατάρα</w:t>
            </w:r>
            <w:r w:rsidRPr="00CC3589">
              <w:t xml:space="preserve">. (…) </w:t>
            </w:r>
            <w:r w:rsidRPr="00CC3589">
              <w:rPr>
                <w:lang w:val="el-GR"/>
              </w:rPr>
              <w:t>μήτι</w:t>
            </w:r>
            <w:r w:rsidRPr="00CC3589">
              <w:t xml:space="preserve"> </w:t>
            </w:r>
            <w:r w:rsidRPr="00CC3589">
              <w:rPr>
                <w:lang w:val="el-GR"/>
              </w:rPr>
              <w:t>ἡ</w:t>
            </w:r>
            <w:r w:rsidRPr="00CC3589">
              <w:t xml:space="preserve"> </w:t>
            </w:r>
            <w:r w:rsidRPr="00CC3589">
              <w:rPr>
                <w:lang w:val="el-GR"/>
              </w:rPr>
              <w:t>πηγὴ</w:t>
            </w:r>
            <w:r w:rsidRPr="00CC3589">
              <w:t xml:space="preserve"> </w:t>
            </w:r>
            <w:r w:rsidRPr="00CC3589">
              <w:rPr>
                <w:lang w:val="el-GR"/>
              </w:rPr>
              <w:t>ἐκ</w:t>
            </w:r>
            <w:r w:rsidRPr="00CC3589">
              <w:t xml:space="preserve"> </w:t>
            </w:r>
            <w:r w:rsidRPr="00CC3589">
              <w:rPr>
                <w:lang w:val="el-GR"/>
              </w:rPr>
              <w:t>τῆς</w:t>
            </w:r>
            <w:r w:rsidRPr="00CC3589">
              <w:t xml:space="preserve"> </w:t>
            </w:r>
            <w:r w:rsidRPr="00CC3589">
              <w:rPr>
                <w:lang w:val="el-GR"/>
              </w:rPr>
              <w:t>αὐτῆς</w:t>
            </w:r>
            <w:r w:rsidRPr="00CC3589">
              <w:t xml:space="preserve"> </w:t>
            </w:r>
            <w:r w:rsidRPr="00CC3589">
              <w:rPr>
                <w:lang w:val="el-GR"/>
              </w:rPr>
              <w:t>ὀπῆς</w:t>
            </w:r>
            <w:r w:rsidRPr="00CC3589">
              <w:t xml:space="preserve"> </w:t>
            </w:r>
            <w:r w:rsidRPr="00CC3589">
              <w:rPr>
                <w:lang w:val="el-GR"/>
              </w:rPr>
              <w:t>βρύει</w:t>
            </w:r>
            <w:r w:rsidRPr="00CC3589">
              <w:t xml:space="preserve"> </w:t>
            </w:r>
            <w:r w:rsidRPr="00CC3589">
              <w:rPr>
                <w:lang w:val="el-GR"/>
              </w:rPr>
              <w:t>τὸ</w:t>
            </w:r>
            <w:r w:rsidRPr="00CC3589">
              <w:t xml:space="preserve"> </w:t>
            </w:r>
            <w:r w:rsidRPr="00CC3589">
              <w:rPr>
                <w:lang w:val="el-GR"/>
              </w:rPr>
              <w:t>γλυκὺ</w:t>
            </w:r>
            <w:r w:rsidRPr="00CC3589">
              <w:t xml:space="preserve"> </w:t>
            </w:r>
            <w:r w:rsidRPr="00CC3589">
              <w:rPr>
                <w:lang w:val="el-GR"/>
              </w:rPr>
              <w:t>καὶ</w:t>
            </w:r>
            <w:r w:rsidRPr="00CC3589">
              <w:t xml:space="preserve"> </w:t>
            </w:r>
            <w:r w:rsidRPr="00CC3589">
              <w:rPr>
                <w:lang w:val="el-GR"/>
              </w:rPr>
              <w:t>τὸ</w:t>
            </w:r>
            <w:r w:rsidRPr="00CC3589">
              <w:t xml:space="preserve"> </w:t>
            </w:r>
            <w:r w:rsidRPr="00CC3589">
              <w:rPr>
                <w:lang w:val="el-GR"/>
              </w:rPr>
              <w:t>πικρόν</w:t>
            </w:r>
            <w:r w:rsidRPr="00CC3589">
              <w:t xml:space="preserve">; </w:t>
            </w:r>
          </w:p>
        </w:tc>
        <w:tc>
          <w:tcPr>
            <w:tcW w:w="2774" w:type="dxa"/>
            <w:hideMark/>
          </w:tcPr>
          <w:p w14:paraId="0BA493B9" w14:textId="2EAA9316" w:rsidR="005420CF" w:rsidRPr="003E2A76" w:rsidRDefault="005420CF" w:rsidP="00DA2733">
            <w:r w:rsidRPr="00CC3589">
              <w:t xml:space="preserve">Ex eodem ore procedit benedictio et maledictio (…) Numquid fons ex eodem foramine emanat </w:t>
            </w:r>
            <w:r w:rsidR="000E2357" w:rsidRPr="00CC3589">
              <w:t>(</w:t>
            </w:r>
            <w:r w:rsidR="000E2357" w:rsidRPr="00CC3589">
              <w:rPr>
                <w:i/>
              </w:rPr>
              <w:t>emittit</w:t>
            </w:r>
            <w:r w:rsidR="000E2357" w:rsidRPr="00CC3589">
              <w:t xml:space="preserve"> 1535) </w:t>
            </w:r>
            <w:r w:rsidRPr="00CC3589">
              <w:t>dulcem et amaram aquam</w:t>
            </w:r>
            <w:r w:rsidR="00F267BC">
              <w:t> ?</w:t>
            </w:r>
          </w:p>
        </w:tc>
      </w:tr>
    </w:tbl>
    <w:p w14:paraId="51BFB9DB" w14:textId="77777777" w:rsidR="00A00EE7" w:rsidRPr="003E2A76" w:rsidRDefault="00A00EE7" w:rsidP="00DA2733"/>
    <w:sectPr w:rsidR="00A00EE7" w:rsidRPr="003E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9D6C" w14:textId="77777777" w:rsidR="00F67FE4" w:rsidRDefault="00F67FE4" w:rsidP="00EE6281">
      <w:pPr>
        <w:spacing w:before="0" w:after="0"/>
      </w:pPr>
      <w:r>
        <w:separator/>
      </w:r>
    </w:p>
  </w:endnote>
  <w:endnote w:type="continuationSeparator" w:id="0">
    <w:p w14:paraId="09DFC166" w14:textId="77777777" w:rsidR="00F67FE4" w:rsidRDefault="00F67FE4" w:rsidP="00EE62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740E" w14:textId="77777777" w:rsidR="00F67FE4" w:rsidRDefault="00F67FE4" w:rsidP="00EE6281">
      <w:pPr>
        <w:spacing w:before="0" w:after="0"/>
      </w:pPr>
      <w:r>
        <w:separator/>
      </w:r>
    </w:p>
  </w:footnote>
  <w:footnote w:type="continuationSeparator" w:id="0">
    <w:p w14:paraId="31BA4C6A" w14:textId="77777777" w:rsidR="00F67FE4" w:rsidRDefault="00F67FE4" w:rsidP="00EE6281">
      <w:pPr>
        <w:spacing w:before="0" w:after="0"/>
      </w:pPr>
      <w:r>
        <w:continuationSeparator/>
      </w:r>
    </w:p>
  </w:footnote>
  <w:footnote w:id="1">
    <w:p w14:paraId="3764EE52" w14:textId="3C7A6585" w:rsidR="00EE6281" w:rsidRDefault="00EE6281" w:rsidP="00EE6281">
      <w:pPr>
        <w:pStyle w:val="Notedebasdepage"/>
      </w:pPr>
      <w:r>
        <w:rPr>
          <w:rStyle w:val="Appelnotedebasdep"/>
        </w:rPr>
        <w:footnoteRef/>
      </w:r>
      <w:r>
        <w:t xml:space="preserve"> Vulg : « In his duobus mandatis universa lex pendet, et prophet</w:t>
      </w:r>
      <w:r w:rsidR="00BD4FB2">
        <w:t>æ</w:t>
      </w:r>
      <w:r>
        <w:t> ».</w:t>
      </w:r>
    </w:p>
  </w:footnote>
  <w:footnote w:id="2">
    <w:p w14:paraId="6F1B9AEA" w14:textId="2B10FCB3" w:rsidR="00EE6281" w:rsidRDefault="00EE6281">
      <w:pPr>
        <w:pStyle w:val="Notedebasdepage"/>
      </w:pPr>
      <w:r>
        <w:rPr>
          <w:rStyle w:val="Appelnotedebasdep"/>
        </w:rPr>
        <w:footnoteRef/>
      </w:r>
      <w:r>
        <w:t xml:space="preserve"> Vulg : « Unum corpus, et unus Spiritus 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12E"/>
    <w:multiLevelType w:val="hybridMultilevel"/>
    <w:tmpl w:val="7146FC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C0"/>
    <w:rsid w:val="00072E3F"/>
    <w:rsid w:val="000A7700"/>
    <w:rsid w:val="000E2357"/>
    <w:rsid w:val="001238E4"/>
    <w:rsid w:val="00137EA9"/>
    <w:rsid w:val="00192AD9"/>
    <w:rsid w:val="00257189"/>
    <w:rsid w:val="003457F0"/>
    <w:rsid w:val="003E2A76"/>
    <w:rsid w:val="00475759"/>
    <w:rsid w:val="004A7FD5"/>
    <w:rsid w:val="005420CF"/>
    <w:rsid w:val="00571E9A"/>
    <w:rsid w:val="00595811"/>
    <w:rsid w:val="006A49E4"/>
    <w:rsid w:val="00713C03"/>
    <w:rsid w:val="007641BE"/>
    <w:rsid w:val="0077145F"/>
    <w:rsid w:val="00892A62"/>
    <w:rsid w:val="0096007D"/>
    <w:rsid w:val="00A00EE7"/>
    <w:rsid w:val="00A249E0"/>
    <w:rsid w:val="00A30E79"/>
    <w:rsid w:val="00AD19C0"/>
    <w:rsid w:val="00B2166F"/>
    <w:rsid w:val="00B461B9"/>
    <w:rsid w:val="00B840A2"/>
    <w:rsid w:val="00BD4FB2"/>
    <w:rsid w:val="00C01979"/>
    <w:rsid w:val="00C51B10"/>
    <w:rsid w:val="00C66342"/>
    <w:rsid w:val="00C72D53"/>
    <w:rsid w:val="00CC3589"/>
    <w:rsid w:val="00D12E99"/>
    <w:rsid w:val="00DA2733"/>
    <w:rsid w:val="00DF5BA8"/>
    <w:rsid w:val="00EE6281"/>
    <w:rsid w:val="00F267BC"/>
    <w:rsid w:val="00F53AC2"/>
    <w:rsid w:val="00F67FE4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3BDC"/>
  <w15:chartTrackingRefBased/>
  <w15:docId w15:val="{4168A13D-ECED-8847-839D-E2FC6BEE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33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DA2733"/>
    <w:pPr>
      <w:outlineLvl w:val="0"/>
    </w:pPr>
    <w:rPr>
      <w:small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6281"/>
    <w:pPr>
      <w:keepNext/>
      <w:ind w:left="425"/>
      <w:jc w:val="left"/>
      <w:outlineLvl w:val="1"/>
    </w:pPr>
    <w:rPr>
      <w:b/>
      <w:bCs/>
    </w:rPr>
  </w:style>
  <w:style w:type="paragraph" w:styleId="Titre3">
    <w:name w:val="heading 3"/>
    <w:basedOn w:val="Normal"/>
    <w:link w:val="Titre3Car"/>
    <w:uiPriority w:val="9"/>
    <w:qFormat/>
    <w:rsid w:val="00AD19C0"/>
    <w:pPr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9C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D19C0"/>
    <w:rPr>
      <w:rFonts w:ascii="Times New Roman" w:eastAsia="Times New Roman" w:hAnsi="Times New Roman" w:cs="Times New Roman"/>
      <w:b/>
      <w:bCs/>
      <w:sz w:val="27"/>
      <w:szCs w:val="27"/>
      <w:lang w:eastAsia="fr-FR" w:bidi="he-IL"/>
    </w:rPr>
  </w:style>
  <w:style w:type="character" w:customStyle="1" w:styleId="centr">
    <w:name w:val="centr"/>
    <w:basedOn w:val="Policepardfaut"/>
    <w:rsid w:val="00AD19C0"/>
  </w:style>
  <w:style w:type="character" w:customStyle="1" w:styleId="suiv">
    <w:name w:val="suiv"/>
    <w:basedOn w:val="Policepardfaut"/>
    <w:rsid w:val="00AD19C0"/>
  </w:style>
  <w:style w:type="character" w:styleId="Lienhypertexte">
    <w:name w:val="Hyperlink"/>
    <w:basedOn w:val="Policepardfaut"/>
    <w:uiPriority w:val="99"/>
    <w:semiHidden/>
    <w:unhideWhenUsed/>
    <w:rsid w:val="00AD19C0"/>
    <w:rPr>
      <w:color w:val="0000FF"/>
      <w:u w:val="single"/>
    </w:rPr>
  </w:style>
  <w:style w:type="character" w:customStyle="1" w:styleId="cent-marginalia">
    <w:name w:val="cent-marginalia"/>
    <w:basedOn w:val="Policepardfaut"/>
    <w:rsid w:val="00AD19C0"/>
  </w:style>
  <w:style w:type="character" w:customStyle="1" w:styleId="num">
    <w:name w:val="num"/>
    <w:basedOn w:val="Policepardfaut"/>
    <w:rsid w:val="00AD19C0"/>
  </w:style>
  <w:style w:type="paragraph" w:styleId="NormalWeb">
    <w:name w:val="Normal (Web)"/>
    <w:basedOn w:val="Normal"/>
    <w:uiPriority w:val="99"/>
    <w:semiHidden/>
    <w:unhideWhenUsed/>
    <w:rsid w:val="00AD19C0"/>
  </w:style>
  <w:style w:type="table" w:styleId="Grilledutableau">
    <w:name w:val="Table Grid"/>
    <w:basedOn w:val="TableauNormal"/>
    <w:uiPriority w:val="39"/>
    <w:rsid w:val="00C0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A2733"/>
    <w:rPr>
      <w:rFonts w:ascii="Times New Roman" w:hAnsi="Times New Roman" w:cs="Times New Roman"/>
      <w:smallCaps/>
    </w:rPr>
  </w:style>
  <w:style w:type="paragraph" w:styleId="Titre">
    <w:name w:val="Title"/>
    <w:basedOn w:val="Normal"/>
    <w:next w:val="Normal"/>
    <w:link w:val="TitreCar"/>
    <w:uiPriority w:val="10"/>
    <w:qFormat/>
    <w:rsid w:val="00F267BC"/>
    <w:pPr>
      <w:spacing w:before="480" w:beforeAutospacing="0" w:after="480" w:afterAutospacing="0"/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uiPriority w:val="10"/>
    <w:rsid w:val="00F267BC"/>
    <w:rPr>
      <w:rFonts w:ascii="Times New Roman" w:eastAsia="Times New Roman" w:hAnsi="Times New Roman" w:cs="Times New Roman"/>
      <w:b/>
      <w:bCs/>
      <w:sz w:val="32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"/>
    <w:rsid w:val="00EE6281"/>
    <w:rPr>
      <w:rFonts w:ascii="Times New Roman" w:eastAsia="Times New Roman" w:hAnsi="Times New Roman" w:cs="Times New Roman"/>
      <w:b/>
      <w:bCs/>
      <w:lang w:eastAsia="fr-FR" w:bidi="he-I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6281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6281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character" w:styleId="Appelnotedebasdep">
    <w:name w:val="footnote reference"/>
    <w:basedOn w:val="Policepardfaut"/>
    <w:uiPriority w:val="99"/>
    <w:semiHidden/>
    <w:unhideWhenUsed/>
    <w:rsid w:val="00EE6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hrim.huma-num.fr/nmh/Erasmus/Proverbia/Adagium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Smaranda Marculescu</dc:creator>
  <cp:keywords/>
  <dc:description/>
  <cp:lastModifiedBy>Gaillardon Paul</cp:lastModifiedBy>
  <cp:revision>4</cp:revision>
  <dcterms:created xsi:type="dcterms:W3CDTF">2025-06-17T14:25:00Z</dcterms:created>
  <dcterms:modified xsi:type="dcterms:W3CDTF">2025-06-17T16:09:00Z</dcterms:modified>
</cp:coreProperties>
</file>